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BE" w:rsidRPr="00ED2ABE" w:rsidRDefault="00ED2ABE" w:rsidP="00ED2ABE">
      <w:pPr>
        <w:keepNext/>
        <w:keepLines/>
        <w:widowControl w:val="0"/>
        <w:spacing w:after="0" w:line="250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bookmark1"/>
      <w:r w:rsidRPr="00ED2AB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 документов,</w:t>
      </w:r>
      <w:bookmarkEnd w:id="0"/>
    </w:p>
    <w:p w:rsidR="00ED2ABE" w:rsidRPr="00ED2ABE" w:rsidRDefault="00ED2ABE" w:rsidP="00ED2ABE">
      <w:pPr>
        <w:keepNext/>
        <w:keepLines/>
        <w:widowControl w:val="0"/>
        <w:spacing w:after="0" w:line="25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" w:name="bookmark2"/>
      <w:r w:rsidRPr="00ED2AB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необходимых для заключения договора энергоснабжения (купли-продажи (поставки) электрической энергии) и предоставляемых энергосбытовыми (энергоснабжающими) организациями</w:t>
      </w:r>
      <w:bookmarkStart w:id="2" w:name="bookmark3"/>
      <w:bookmarkEnd w:id="1"/>
      <w:r w:rsidRPr="00ED2AB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 соответствии с Основными положениями</w:t>
      </w:r>
      <w:r w:rsidRPr="00ED2AB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ru-RU"/>
        </w:rPr>
        <w:footnoteReference w:id="1"/>
      </w:r>
      <w:bookmarkEnd w:id="2"/>
    </w:p>
    <w:tbl>
      <w:tblPr>
        <w:tblOverlap w:val="never"/>
        <w:tblW w:w="10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0502"/>
      </w:tblGrid>
      <w:tr w:rsidR="00ED2ABE" w:rsidRPr="00ED2ABE" w:rsidTr="00614BD0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Документ</w:t>
            </w:r>
          </w:p>
        </w:tc>
      </w:tr>
      <w:tr w:rsidR="00ED2ABE" w:rsidRPr="00ED2ABE" w:rsidTr="00614BD0">
        <w:trPr>
          <w:trHeight w:hRule="exact" w:val="102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 w:right="15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заявление о заключении договора 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 w:right="15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указанием места нахождения энергопринимающих устройств, в отношении которых заявитель намерен заключить договор, банковских реквизитов, данных о руководителе, иных необходимых для составления договора сведений согласно требованиям действующего законодательства 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 w:right="15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8"/>
                <w:szCs w:val="18"/>
                <w:shd w:val="clear" w:color="auto" w:fill="FFFFFF"/>
                <w:lang w:eastAsia="ru-RU"/>
              </w:rPr>
              <w:t xml:space="preserve">предоставляется в оригинале, форма Заявления </w:t>
            </w:r>
            <w:r w:rsidRPr="00ED2ABE">
              <w:rPr>
                <w:rFonts w:ascii="Arial" w:eastAsia="Times New Roman" w:hAnsi="Arial" w:cs="Arial"/>
                <w:i/>
                <w:color w:val="365F91" w:themeColor="accent1" w:themeShade="BF"/>
                <w:sz w:val="18"/>
                <w:szCs w:val="18"/>
                <w:lang w:eastAsia="ru-RU"/>
              </w:rPr>
              <w:t>размещена на сайте</w:t>
            </w:r>
          </w:p>
        </w:tc>
      </w:tr>
      <w:tr w:rsidR="00ED2ABE" w:rsidRPr="00ED2ABE" w:rsidTr="00614BD0">
        <w:trPr>
          <w:trHeight w:hRule="exact" w:val="718"/>
          <w:jc w:val="center"/>
        </w:trPr>
        <w:tc>
          <w:tcPr>
            <w:tcW w:w="10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340" w:right="151" w:hanging="2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Указанные ниже документы предоставляются в виде копий, подписанных гражданином либо неподписанных копий с одновременным предъявлением оригиналов таких документов для сверки гарантирующим поставщиком их идентичности.</w:t>
            </w:r>
          </w:p>
        </w:tc>
      </w:tr>
      <w:tr w:rsidR="00ED2ABE" w:rsidRPr="00ED2ABE" w:rsidTr="00614BD0">
        <w:trPr>
          <w:trHeight w:hRule="exact" w:val="27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340" w:right="151" w:hanging="2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свидетельство о государственной регистрации заявителя в качестве юридического лица</w:t>
            </w:r>
            <w:r w:rsidRPr="00ED2A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ED2ABE" w:rsidRPr="00ED2ABE" w:rsidTr="00614BD0">
        <w:trPr>
          <w:trHeight w:hRule="exact" w:val="2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340" w:right="151" w:hanging="2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свидетельство о постановке заявителя на учет в налоговом органе</w:t>
            </w:r>
          </w:p>
        </w:tc>
      </w:tr>
      <w:tr w:rsidR="00ED2ABE" w:rsidRPr="00ED2ABE" w:rsidTr="00614BD0">
        <w:trPr>
          <w:trHeight w:hRule="exact" w:val="5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340" w:right="151" w:hanging="2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документы, подтверждающие полномочия лица, подписавшего заявление от имени заявителя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      </w: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D2ABE" w:rsidRPr="00ED2ABE" w:rsidTr="00614BD0">
        <w:trPr>
          <w:trHeight w:hRule="exact" w:val="14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выписка из договоров энергоснабжения (купли-продажи (поставки) электрической энергии (мощности))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0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должна быть подписана уполномоченным лицом энергосбытовой (энергоснабжающей) организации;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0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предоставляется в отношении договоров, заключенных с потребителями, в интересах которых энергосбытовая (энергоснабжающая) организация намеревается приобретать электрическую энергию (мощность) у гарантирующего поставщика;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0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поставки.</w:t>
            </w:r>
          </w:p>
        </w:tc>
      </w:tr>
      <w:tr w:rsidR="00ED2ABE" w:rsidRPr="00ED2ABE" w:rsidTr="00614BD0">
        <w:trPr>
          <w:trHeight w:hRule="exact" w:val="25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акт разграничения границ балансовой принадлежности сторон (акт разграничения эксплуатационной ответственности сторон)</w:t>
            </w: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  <w:lang w:eastAsia="ru-RU"/>
              </w:rPr>
              <w:footnoteReference w:id="2"/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акт о технологическом присоединении (</w:t>
            </w:r>
            <w:r w:rsidRPr="00ED2ABE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8"/>
                <w:szCs w:val="18"/>
                <w:shd w:val="clear" w:color="auto" w:fill="FFFFFF"/>
                <w:lang w:eastAsia="ru-RU"/>
              </w:rPr>
              <w:t>при его наличии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или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216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предоставляется в отношении энергопринимающих устройств, о снабжении электрической энергией которых указано в заявлении о заключении договора;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216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предоставляются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 энергосбытовая (энергоснабжающая) организация намеревается приобретать электрическую энергию (мощность) у гарантирующего поставщика</w:t>
            </w:r>
          </w:p>
        </w:tc>
      </w:tr>
      <w:tr w:rsidR="00ED2ABE" w:rsidRPr="00ED2ABE" w:rsidTr="00614BD0">
        <w:trPr>
          <w:trHeight w:hRule="exact" w:val="41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документ о допуске в эксплуатацию прибора учета электрической энергии</w:t>
            </w:r>
            <w:r w:rsidRPr="00ED2AB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ED2ABE">
              <w:rPr>
                <w:rFonts w:ascii="Arial" w:eastAsia="Times New Roman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Дополнительно </w:t>
            </w:r>
            <w:r w:rsidRPr="00ED2A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Акт снятия показаний прибора учета/Акт проверки прибора учета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(иной документ, содержащий информацию о  начальных показаниях приборов учета</w:t>
            </w:r>
            <w:r w:rsidRPr="00ED2A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(на дату начала исполнения договора).   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Данный документ предоставляется дополнительно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только в случае, если в Акте допуска прибора учета в эксплуатацию  отсутствуют  данные  о  начальных показаниях приборов учета</w:t>
            </w:r>
            <w:r w:rsidRPr="00ED2A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 дату начала исполнения договора)  или  иные сведения,  содержащие описание приборов учета</w:t>
            </w:r>
            <w:r w:rsidRPr="00ED2A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При непредставлении заявителем подтвержденных данных о начальных показаниях приборов учета</w:t>
            </w:r>
            <w:r w:rsidRPr="00ED2AB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A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ED2AB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A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Заявитель обязан обеспечить допуск 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предоставляются при наличии приборов учета,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ED2ABE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8"/>
                <w:szCs w:val="18"/>
                <w:shd w:val="clear" w:color="auto" w:fill="FFFFFF"/>
                <w:lang w:eastAsia="ru-RU"/>
              </w:rPr>
              <w:t xml:space="preserve">предоставляются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 энергосбытовая организация намеревается приобретать электроэнергию у ГП </w:t>
            </w:r>
          </w:p>
        </w:tc>
      </w:tr>
      <w:tr w:rsidR="00ED2ABE" w:rsidRPr="00ED2ABE" w:rsidTr="00614BD0">
        <w:trPr>
          <w:trHeight w:hRule="exact" w:val="19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8.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акт согласования технологической и (или) аварийной брони</w:t>
            </w:r>
            <w:r w:rsidRPr="00ED2AB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-4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предоставляется при его наличии у заявителя;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tabs>
                <w:tab w:val="left" w:pos="-4"/>
              </w:tabs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предоставляется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 энергосбытовая (энергоснабжающая) организация намеревается приобретать электрическую энергию (мощность) у гарантирующего поставщика</w:t>
            </w:r>
          </w:p>
        </w:tc>
      </w:tr>
      <w:tr w:rsidR="00ED2ABE" w:rsidRPr="00ED2ABE" w:rsidTr="00614BD0">
        <w:trPr>
          <w:trHeight w:hRule="exact" w:val="12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однолинейная схема электрической сети заявителя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с указанием точек присоединения к объектам электросетевого хозяйства;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предоставляется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 энергосбытовая (энергоснабжающая) организация намеревается приобретать электрическую энергию (мощность) у гарантирующего поставщика</w:t>
            </w:r>
          </w:p>
        </w:tc>
      </w:tr>
      <w:tr w:rsidR="00ED2ABE" w:rsidRPr="00ED2ABE" w:rsidTr="00614BD0">
        <w:trPr>
          <w:trHeight w:hRule="exact" w:val="5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</w:t>
            </w: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или протокол разногласий к типовой форме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предоставляется по желанию заявителя</w:t>
            </w:r>
          </w:p>
        </w:tc>
      </w:tr>
    </w:tbl>
    <w:p w:rsidR="00ED2ABE" w:rsidRPr="00ED2ABE" w:rsidRDefault="00ED2ABE" w:rsidP="00ED2ABE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ABE">
        <w:rPr>
          <w:rFonts w:ascii="Arial" w:eastAsia="Times New Roman" w:hAnsi="Arial" w:cs="Arial"/>
          <w:color w:val="000000"/>
          <w:lang w:eastAsia="ru-RU"/>
        </w:rPr>
        <w:br w:type="page"/>
      </w:r>
    </w:p>
    <w:tbl>
      <w:tblPr>
        <w:tblOverlap w:val="never"/>
        <w:tblW w:w="10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0502"/>
      </w:tblGrid>
      <w:tr w:rsidR="00ED2ABE" w:rsidRPr="00ED2ABE" w:rsidTr="00614BD0">
        <w:trPr>
          <w:trHeight w:hRule="exact" w:val="12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однолинейная схема электрической сети заявителя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 с указанием точек присоединения к объектам электросетевого хозяйства;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5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ED2AB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предоставляется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 энергосбытовая (энергоснабжающая) организация намеревается приобретать электрическую энергию (мощность) у гарантирующего поставщика</w:t>
            </w:r>
          </w:p>
        </w:tc>
      </w:tr>
      <w:tr w:rsidR="00ED2ABE" w:rsidRPr="00ED2ABE" w:rsidTr="00614BD0">
        <w:trPr>
          <w:trHeight w:hRule="exact" w:val="427"/>
          <w:jc w:val="center"/>
        </w:trPr>
        <w:tc>
          <w:tcPr>
            <w:tcW w:w="10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Указанный ниже документ предоставляется в виде оригинала, подписанного заявителем</w:t>
            </w:r>
          </w:p>
        </w:tc>
      </w:tr>
      <w:tr w:rsidR="00ED2ABE" w:rsidRPr="00ED2ABE" w:rsidTr="00614BD0">
        <w:trPr>
          <w:trHeight w:hRule="exact" w:val="8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</w:t>
            </w:r>
            <w:r w:rsidRPr="00ED2AB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или протокол разногласий к проекту договора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предоставляется по желанию заявителя</w:t>
            </w:r>
          </w:p>
          <w:p w:rsidR="00ED2ABE" w:rsidRPr="00ED2ABE" w:rsidRDefault="00ED2ABE" w:rsidP="00ED2ABE">
            <w:pPr>
              <w:framePr w:w="10930" w:h="13205" w:hRule="exact" w:wrap="notBeside" w:vAnchor="text" w:hAnchor="text" w:xAlign="center" w:y="4"/>
              <w:widowControl w:val="0"/>
              <w:spacing w:after="0" w:line="240" w:lineRule="auto"/>
              <w:ind w:right="151" w:firstLine="12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2ABE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формы договоров размещены на сайте</w:t>
            </w:r>
          </w:p>
        </w:tc>
      </w:tr>
    </w:tbl>
    <w:p w:rsidR="00DB06DC" w:rsidRPr="00ED2ABE" w:rsidRDefault="00DB06DC" w:rsidP="00ED2ABE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3" w:name="_GoBack"/>
      <w:bookmarkEnd w:id="3"/>
    </w:p>
    <w:sectPr w:rsidR="00DB06DC" w:rsidRPr="00ED2ABE" w:rsidSect="00ED2ABE">
      <w:footerReference w:type="even" r:id="rId7"/>
      <w:footerReference w:type="first" r:id="rId8"/>
      <w:footnotePr>
        <w:numRestart w:val="eachPage"/>
      </w:footnotePr>
      <w:pgSz w:w="11909" w:h="16838"/>
      <w:pgMar w:top="498" w:right="386" w:bottom="498" w:left="410" w:header="0" w:footer="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BE" w:rsidRDefault="00ED2ABE" w:rsidP="00ED2ABE">
      <w:pPr>
        <w:spacing w:after="0" w:line="240" w:lineRule="auto"/>
      </w:pPr>
      <w:r>
        <w:separator/>
      </w:r>
    </w:p>
  </w:endnote>
  <w:endnote w:type="continuationSeparator" w:id="0">
    <w:p w:rsidR="00ED2ABE" w:rsidRDefault="00ED2ABE" w:rsidP="00ED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08" w:rsidRDefault="00ED2AB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9" name="Надпись 9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ABE" w:rsidRDefault="00ED2ABE" w:rsidP="00ED2ABE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ED2AB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Пр-В-2016-0116,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ED2AB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:548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alt="Watermark_2721" style="position:absolute;margin-left:0;margin-top:0;width:172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" filled="f" stroked="f">
              <o:lock v:ext="edit" shapetype="t"/>
              <v:textbox style="mso-fit-shape-to-text:t">
                <w:txbxContent>
                  <w:p w:rsidR="00ED2ABE" w:rsidRDefault="00ED2ABE" w:rsidP="00ED2ABE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ED2ABE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Пр-В-2016-0116,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ED2ABE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:548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08" w:rsidRDefault="00ED2AB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4" name="Надпись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ABE" w:rsidRDefault="00ED2ABE" w:rsidP="00ED2ABE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ED2AB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Пр-В-2016-0116,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ED2AB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:548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alt="Watermark_2721" style="position:absolute;margin-left:0;margin-top:0;width:172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" filled="f" stroked="f">
              <o:lock v:ext="edit" shapetype="t"/>
              <v:textbox style="mso-fit-shape-to-text:t">
                <w:txbxContent>
                  <w:p w:rsidR="00ED2ABE" w:rsidRDefault="00ED2ABE" w:rsidP="00ED2ABE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ED2ABE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Пр-В-2016-0116,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ED2ABE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:548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BE" w:rsidRDefault="00ED2ABE" w:rsidP="00ED2ABE">
      <w:pPr>
        <w:spacing w:after="0" w:line="240" w:lineRule="auto"/>
      </w:pPr>
      <w:r>
        <w:separator/>
      </w:r>
    </w:p>
  </w:footnote>
  <w:footnote w:type="continuationSeparator" w:id="0">
    <w:p w:rsidR="00ED2ABE" w:rsidRDefault="00ED2ABE" w:rsidP="00ED2ABE">
      <w:pPr>
        <w:spacing w:after="0" w:line="240" w:lineRule="auto"/>
      </w:pPr>
      <w:r>
        <w:continuationSeparator/>
      </w:r>
    </w:p>
  </w:footnote>
  <w:footnote w:id="1">
    <w:p w:rsidR="00ED2ABE" w:rsidRDefault="00ED2ABE" w:rsidP="00ED2ABE">
      <w:pPr>
        <w:pStyle w:val="a7"/>
        <w:shd w:val="clear" w:color="auto" w:fill="auto"/>
        <w:spacing w:line="150" w:lineRule="exact"/>
        <w:jc w:val="both"/>
      </w:pPr>
      <w:r w:rsidRPr="00D7081B">
        <w:rPr>
          <w:rFonts w:ascii="Arial" w:hAnsi="Arial" w:cs="Arial"/>
          <w:sz w:val="16"/>
          <w:szCs w:val="16"/>
          <w:vertAlign w:val="superscript"/>
        </w:rPr>
        <w:footnoteRef/>
      </w:r>
      <w:r w:rsidRPr="00D7081B">
        <w:rPr>
          <w:rFonts w:ascii="Arial" w:hAnsi="Arial" w:cs="Arial"/>
          <w:sz w:val="16"/>
          <w:szCs w:val="16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  <w:r w:rsidRPr="00D7081B">
        <w:rPr>
          <w:rFonts w:ascii="Arial" w:hAnsi="Arial" w:cs="Arial"/>
          <w:sz w:val="16"/>
          <w:szCs w:val="16"/>
          <w:lang w:val="en-US"/>
        </w:rPr>
        <w:t>N</w:t>
      </w:r>
      <w:r w:rsidRPr="00D7081B">
        <w:rPr>
          <w:rFonts w:ascii="Arial" w:hAnsi="Arial" w:cs="Arial"/>
          <w:sz w:val="16"/>
          <w:szCs w:val="16"/>
        </w:rPr>
        <w:t xml:space="preserve"> 442</w:t>
      </w:r>
    </w:p>
  </w:footnote>
  <w:footnote w:id="2">
    <w:p w:rsidR="00ED2ABE" w:rsidRDefault="00ED2ABE" w:rsidP="00ED2ABE">
      <w:pPr>
        <w:pStyle w:val="a7"/>
        <w:shd w:val="clear" w:color="auto" w:fill="auto"/>
        <w:spacing w:line="197" w:lineRule="exact"/>
        <w:jc w:val="both"/>
      </w:pPr>
      <w:r w:rsidRPr="00D7081B">
        <w:rPr>
          <w:rFonts w:ascii="Arial" w:hAnsi="Arial" w:cs="Arial"/>
          <w:sz w:val="16"/>
          <w:szCs w:val="16"/>
          <w:vertAlign w:val="superscript"/>
        </w:rPr>
        <w:footnoteRef/>
      </w:r>
      <w:r w:rsidRPr="00D7081B">
        <w:rPr>
          <w:rFonts w:ascii="Arial" w:hAnsi="Arial" w:cs="Arial"/>
          <w:sz w:val="16"/>
          <w:szCs w:val="16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</w:t>
      </w:r>
      <w:r>
        <w:rPr>
          <w:rFonts w:ascii="Arial" w:hAnsi="Arial" w:cs="Arial"/>
          <w:sz w:val="16"/>
          <w:szCs w:val="16"/>
        </w:rPr>
        <w:t xml:space="preserve">Предоставляется энергосбытовой организацией после окончания процедуры </w:t>
      </w:r>
      <w:r w:rsidRPr="00D7081B">
        <w:rPr>
          <w:rFonts w:ascii="Arial" w:hAnsi="Arial" w:cs="Arial"/>
          <w:sz w:val="16"/>
          <w:szCs w:val="16"/>
        </w:rPr>
        <w:t>технологического присоединения к электрическим сетям сетевой организации соответствующих энергопринимающих устройств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95AE6"/>
    <w:multiLevelType w:val="hybridMultilevel"/>
    <w:tmpl w:val="309E9E4E"/>
    <w:lvl w:ilvl="0" w:tplc="61FE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CE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A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C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48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24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7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C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9C"/>
    <w:rsid w:val="00100B0D"/>
    <w:rsid w:val="00152DF0"/>
    <w:rsid w:val="00190278"/>
    <w:rsid w:val="001F0902"/>
    <w:rsid w:val="001F2657"/>
    <w:rsid w:val="00C0019C"/>
    <w:rsid w:val="00DB06DC"/>
    <w:rsid w:val="00E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253BD7"/>
  <w15:docId w15:val="{A05425E7-FAEB-4B28-AC82-CD8676A3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0D"/>
    <w:rPr>
      <w:rFonts w:ascii="Tahoma" w:hAnsi="Tahoma" w:cs="Tahoma"/>
      <w:sz w:val="16"/>
      <w:szCs w:val="16"/>
    </w:rPr>
  </w:style>
  <w:style w:type="character" w:customStyle="1" w:styleId="a6">
    <w:name w:val="Сноска_"/>
    <w:basedOn w:val="a0"/>
    <w:link w:val="a7"/>
    <w:locked/>
    <w:rsid w:val="00ED2ABE"/>
    <w:rPr>
      <w:rFonts w:ascii="Calibri" w:eastAsia="Times New Roman" w:hAnsi="Calibri" w:cs="Calibri"/>
      <w:sz w:val="15"/>
      <w:szCs w:val="15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ED2ABE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ED2ABE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ED2ABE"/>
    <w:rPr>
      <w:rFonts w:ascii="Calibri" w:eastAsia="Times New Roman" w:hAnsi="Calibri" w:cs="Calibri"/>
      <w:sz w:val="15"/>
      <w:szCs w:val="15"/>
      <w:shd w:val="clear" w:color="auto" w:fill="FFFFFF"/>
    </w:rPr>
  </w:style>
  <w:style w:type="character" w:customStyle="1" w:styleId="9">
    <w:name w:val="Основной текст + 9"/>
    <w:basedOn w:val="a8"/>
    <w:rsid w:val="00ED2ABE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94">
    <w:name w:val="Основной текст + 94"/>
    <w:basedOn w:val="a8"/>
    <w:rsid w:val="00ED2ABE"/>
    <w:rPr>
      <w:rFonts w:ascii="Calibri" w:eastAsia="Times New Roman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93">
    <w:name w:val="Основной текст + 93"/>
    <w:basedOn w:val="a8"/>
    <w:rsid w:val="00ED2ABE"/>
    <w:rPr>
      <w:rFonts w:ascii="Calibri" w:eastAsia="Times New Roman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7pt">
    <w:name w:val="Основной текст + 7 pt"/>
    <w:basedOn w:val="a8"/>
    <w:rsid w:val="00ED2ABE"/>
    <w:rPr>
      <w:rFonts w:ascii="Calibri" w:eastAsia="Times New Roman" w:hAnsi="Calibri" w:cs="Calibr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92">
    <w:name w:val="Основной текст + 92"/>
    <w:basedOn w:val="a8"/>
    <w:rsid w:val="00ED2ABE"/>
    <w:rPr>
      <w:rFonts w:ascii="Calibri" w:eastAsia="Times New Roman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91">
    <w:name w:val="Основной текст + 91"/>
    <w:basedOn w:val="a8"/>
    <w:rsid w:val="00ED2ABE"/>
    <w:rPr>
      <w:rFonts w:ascii="Calibri" w:eastAsia="Times New Roman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5">
    <w:name w:val="Основной текст + 5"/>
    <w:basedOn w:val="a8"/>
    <w:rsid w:val="00ED2ABE"/>
    <w:rPr>
      <w:rFonts w:ascii="Calibri" w:eastAsia="Times New Roman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paragraph" w:customStyle="1" w:styleId="a7">
    <w:name w:val="Сноска"/>
    <w:basedOn w:val="a"/>
    <w:link w:val="a6"/>
    <w:rsid w:val="00ED2ABE"/>
    <w:pPr>
      <w:widowControl w:val="0"/>
      <w:shd w:val="clear" w:color="auto" w:fill="FFFFFF"/>
      <w:spacing w:after="0" w:line="240" w:lineRule="atLeast"/>
    </w:pPr>
    <w:rPr>
      <w:rFonts w:ascii="Calibri" w:eastAsia="Times New Roman" w:hAnsi="Calibri" w:cs="Calibri"/>
      <w:sz w:val="15"/>
      <w:szCs w:val="15"/>
    </w:rPr>
  </w:style>
  <w:style w:type="paragraph" w:customStyle="1" w:styleId="20">
    <w:name w:val="Заголовок №2"/>
    <w:basedOn w:val="a"/>
    <w:link w:val="2"/>
    <w:rsid w:val="00ED2ABE"/>
    <w:pPr>
      <w:widowControl w:val="0"/>
      <w:shd w:val="clear" w:color="auto" w:fill="FFFFFF"/>
      <w:spacing w:before="540" w:after="0" w:line="250" w:lineRule="exact"/>
      <w:jc w:val="center"/>
      <w:outlineLvl w:val="1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30">
    <w:name w:val="Заголовок №3"/>
    <w:basedOn w:val="a"/>
    <w:link w:val="3"/>
    <w:rsid w:val="00ED2ABE"/>
    <w:pPr>
      <w:widowControl w:val="0"/>
      <w:shd w:val="clear" w:color="auto" w:fill="FFFFFF"/>
      <w:spacing w:after="0" w:line="250" w:lineRule="exact"/>
      <w:jc w:val="center"/>
      <w:outlineLvl w:val="2"/>
    </w:pPr>
    <w:rPr>
      <w:rFonts w:ascii="Calibri" w:eastAsia="Times New Roman" w:hAnsi="Calibri" w:cs="Calibri"/>
      <w:b/>
      <w:bCs/>
      <w:sz w:val="19"/>
      <w:szCs w:val="19"/>
    </w:rPr>
  </w:style>
  <w:style w:type="paragraph" w:customStyle="1" w:styleId="21">
    <w:name w:val="Основной текст2"/>
    <w:basedOn w:val="a"/>
    <w:link w:val="a8"/>
    <w:rsid w:val="00ED2ABE"/>
    <w:pPr>
      <w:widowControl w:val="0"/>
      <w:shd w:val="clear" w:color="auto" w:fill="FFFFFF"/>
      <w:spacing w:after="0" w:line="197" w:lineRule="exact"/>
      <w:ind w:firstLine="420"/>
      <w:jc w:val="both"/>
    </w:pPr>
    <w:rPr>
      <w:rFonts w:ascii="Calibri" w:eastAsia="Times New Roman" w:hAnsi="Calibri" w:cs="Calibri"/>
      <w:sz w:val="15"/>
      <w:szCs w:val="15"/>
    </w:rPr>
  </w:style>
  <w:style w:type="paragraph" w:styleId="a9">
    <w:name w:val="Normal (Web)"/>
    <w:basedOn w:val="a"/>
    <w:uiPriority w:val="99"/>
    <w:semiHidden/>
    <w:unhideWhenUsed/>
    <w:rsid w:val="00ED2A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EE880C41</Template>
  <TotalTime>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Ахмедиева Светлана Валерьевна</dc:creator>
  <cp:lastModifiedBy>Ахмедиева Светлана Валерьевна</cp:lastModifiedBy>
  <cp:revision>2</cp:revision>
  <dcterms:created xsi:type="dcterms:W3CDTF">2019-11-02T07:31:00Z</dcterms:created>
  <dcterms:modified xsi:type="dcterms:W3CDTF">2019-11-02T07:31:00Z</dcterms:modified>
</cp:coreProperties>
</file>