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592E" w14:textId="1D04149A" w:rsidR="00576B9B" w:rsidRDefault="007E7682" w:rsidP="00DA1F73">
      <w:pPr>
        <w:spacing w:line="1" w:lineRule="exact"/>
        <w:ind w:right="283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 wp14:anchorId="209685CA" wp14:editId="02E4519C">
            <wp:simplePos x="0" y="0"/>
            <wp:positionH relativeFrom="margin">
              <wp:posOffset>-7620</wp:posOffset>
            </wp:positionH>
            <wp:positionV relativeFrom="paragraph">
              <wp:posOffset>5080</wp:posOffset>
            </wp:positionV>
            <wp:extent cx="1152525" cy="838200"/>
            <wp:effectExtent l="0" t="0" r="9525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379" behindDoc="1" locked="0" layoutInCell="1" allowOverlap="1" wp14:anchorId="4D1301EB" wp14:editId="64F16AA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287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33" y="21445"/>
                <wp:lineTo x="21433" y="0"/>
                <wp:lineTo x="0" y="0"/>
              </wp:wrapPolygon>
            </wp:wrapTight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287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5E41A" w14:textId="77777777" w:rsidR="00A53D82" w:rsidRDefault="00291593" w:rsidP="00A53D82">
      <w:pPr>
        <w:pStyle w:val="ac"/>
        <w:spacing w:before="0" w:beforeAutospacing="0" w:after="0" w:afterAutospacing="0" w:line="312" w:lineRule="auto"/>
        <w:jc w:val="center"/>
        <w:rPr>
          <w:b/>
          <w:bCs/>
          <w:color w:val="0070C0"/>
          <w:sz w:val="28"/>
          <w:szCs w:val="28"/>
        </w:rPr>
      </w:pPr>
      <w:r>
        <w:tab/>
      </w:r>
      <w:r w:rsidR="00A53D82" w:rsidRPr="00A53D82">
        <w:rPr>
          <w:b/>
          <w:bCs/>
          <w:color w:val="0070C0"/>
          <w:sz w:val="28"/>
          <w:szCs w:val="28"/>
        </w:rPr>
        <w:t xml:space="preserve">Информация в соответствии с </w:t>
      </w:r>
    </w:p>
    <w:p w14:paraId="6AAF95AE" w14:textId="0C1B7F0E" w:rsidR="00A53D82" w:rsidRPr="00A53D82" w:rsidRDefault="00A53D82" w:rsidP="00A53D82">
      <w:pPr>
        <w:pStyle w:val="ac"/>
        <w:spacing w:before="0" w:beforeAutospacing="0" w:after="0" w:afterAutospacing="0" w:line="312" w:lineRule="auto"/>
        <w:jc w:val="center"/>
        <w:rPr>
          <w:b/>
          <w:bCs/>
          <w:color w:val="0070C0"/>
          <w:sz w:val="28"/>
          <w:szCs w:val="28"/>
        </w:rPr>
      </w:pPr>
      <w:r w:rsidRPr="00A53D82">
        <w:rPr>
          <w:b/>
          <w:bCs/>
          <w:color w:val="0070C0"/>
          <w:sz w:val="28"/>
          <w:szCs w:val="28"/>
        </w:rPr>
        <w:t>п. 10 Постановления Правительства от 4 мая 2012 г. N 442 «О функционировании розничных рынков электрической энергии. Полном и (или) частичном ограничении режима потребления электрической энергии»</w:t>
      </w:r>
    </w:p>
    <w:p w14:paraId="24D8A498" w14:textId="7FB10398" w:rsidR="00A53D82" w:rsidRDefault="00A53D82" w:rsidP="00A53D82">
      <w:pPr>
        <w:pStyle w:val="ac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2C325A">
        <w:rPr>
          <w:sz w:val="26"/>
          <w:szCs w:val="26"/>
        </w:rPr>
        <w:t>В 202</w:t>
      </w:r>
      <w:r w:rsidR="003C2A56">
        <w:rPr>
          <w:sz w:val="26"/>
          <w:szCs w:val="26"/>
        </w:rPr>
        <w:t>5</w:t>
      </w:r>
      <w:r w:rsidRPr="002C325A">
        <w:rPr>
          <w:sz w:val="26"/>
          <w:szCs w:val="26"/>
        </w:rPr>
        <w:t xml:space="preserve"> году </w:t>
      </w:r>
      <w:r>
        <w:rPr>
          <w:sz w:val="26"/>
          <w:szCs w:val="26"/>
        </w:rPr>
        <w:t xml:space="preserve">АО «НТЭСК» </w:t>
      </w:r>
      <w:r w:rsidRPr="002C325A">
        <w:rPr>
          <w:sz w:val="26"/>
          <w:szCs w:val="26"/>
        </w:rPr>
        <w:t>проведены следующие мероприятия по повышению качества обслуживания потребителей:</w:t>
      </w:r>
    </w:p>
    <w:tbl>
      <w:tblPr>
        <w:tblStyle w:val="ab"/>
        <w:tblW w:w="10405" w:type="dxa"/>
        <w:tblInd w:w="-204" w:type="dxa"/>
        <w:tblLook w:val="04A0" w:firstRow="1" w:lastRow="0" w:firstColumn="1" w:lastColumn="0" w:noHBand="0" w:noVBand="1"/>
      </w:tblPr>
      <w:tblGrid>
        <w:gridCol w:w="613"/>
        <w:gridCol w:w="9792"/>
      </w:tblGrid>
      <w:tr w:rsidR="00D2702D" w:rsidRPr="00AB4B02" w14:paraId="26B5BD90" w14:textId="77777777" w:rsidTr="00D2702D">
        <w:tc>
          <w:tcPr>
            <w:tcW w:w="613" w:type="dxa"/>
            <w:vAlign w:val="center"/>
          </w:tcPr>
          <w:p w14:paraId="139FBC0A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B4B02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AB4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92" w:type="dxa"/>
            <w:vAlign w:val="center"/>
          </w:tcPr>
          <w:p w14:paraId="71FD9343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0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2702D" w:rsidRPr="00D05E5C" w14:paraId="701BBDC3" w14:textId="77777777" w:rsidTr="00D2702D">
        <w:tc>
          <w:tcPr>
            <w:tcW w:w="613" w:type="dxa"/>
            <w:vAlign w:val="center"/>
          </w:tcPr>
          <w:p w14:paraId="5A9D4DE5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2" w:type="dxa"/>
            <w:vAlign w:val="center"/>
          </w:tcPr>
          <w:p w14:paraId="62DE689D" w14:textId="03C0A08E" w:rsidR="00D2702D" w:rsidRPr="00D05E5C" w:rsidRDefault="00D2702D" w:rsidP="00D05E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потребителей (покупателей) об изменении тарифов, требований нормативной базы, а также предоставление иной информации в соответствии с условиями договора.</w:t>
            </w:r>
          </w:p>
        </w:tc>
      </w:tr>
      <w:tr w:rsidR="00D2702D" w:rsidRPr="00D05E5C" w14:paraId="0529D2D5" w14:textId="77777777" w:rsidTr="004773FB">
        <w:trPr>
          <w:trHeight w:val="653"/>
        </w:trPr>
        <w:tc>
          <w:tcPr>
            <w:tcW w:w="613" w:type="dxa"/>
            <w:vAlign w:val="center"/>
          </w:tcPr>
          <w:p w14:paraId="734BD9CC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2" w:type="dxa"/>
            <w:vAlign w:val="center"/>
          </w:tcPr>
          <w:p w14:paraId="35D11146" w14:textId="0379B3A6" w:rsidR="00D2702D" w:rsidRPr="00D05E5C" w:rsidRDefault="00D2702D" w:rsidP="00D0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заключения</w:t>
            </w:r>
            <w:r w:rsidR="004B40C5" w:rsidRPr="00D05E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расторжения договора энергоснабжения и оформлению пакета документов для его заключения.</w:t>
            </w:r>
          </w:p>
        </w:tc>
      </w:tr>
      <w:tr w:rsidR="00D2702D" w:rsidRPr="00D05E5C" w14:paraId="67747291" w14:textId="77777777" w:rsidTr="004773FB">
        <w:trPr>
          <w:trHeight w:val="407"/>
        </w:trPr>
        <w:tc>
          <w:tcPr>
            <w:tcW w:w="613" w:type="dxa"/>
            <w:vAlign w:val="center"/>
          </w:tcPr>
          <w:p w14:paraId="3089E4A9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2" w:type="dxa"/>
            <w:vAlign w:val="center"/>
          </w:tcPr>
          <w:p w14:paraId="7E995485" w14:textId="3D0EA093" w:rsidR="00D2702D" w:rsidRPr="00D05E5C" w:rsidRDefault="00D2702D" w:rsidP="00D0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расчёту стоимости потреблённой электрической энергии.</w:t>
            </w:r>
          </w:p>
        </w:tc>
      </w:tr>
      <w:tr w:rsidR="00D2702D" w:rsidRPr="00D05E5C" w14:paraId="7439F855" w14:textId="77777777" w:rsidTr="004773FB">
        <w:trPr>
          <w:trHeight w:val="427"/>
        </w:trPr>
        <w:tc>
          <w:tcPr>
            <w:tcW w:w="613" w:type="dxa"/>
            <w:vAlign w:val="center"/>
          </w:tcPr>
          <w:p w14:paraId="795C09AD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2" w:type="dxa"/>
            <w:vAlign w:val="center"/>
          </w:tcPr>
          <w:p w14:paraId="5AEC2C5B" w14:textId="44E3E996" w:rsidR="00D2702D" w:rsidRPr="00D05E5C" w:rsidRDefault="00D2702D" w:rsidP="00D0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</w:t>
            </w:r>
            <w:r w:rsidR="003C2A56" w:rsidRPr="00D05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02D" w:rsidRPr="00D05E5C" w14:paraId="2BE9193F" w14:textId="77777777" w:rsidTr="00D2702D">
        <w:tc>
          <w:tcPr>
            <w:tcW w:w="613" w:type="dxa"/>
            <w:vAlign w:val="center"/>
          </w:tcPr>
          <w:p w14:paraId="6EF8C68B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2" w:type="dxa"/>
            <w:vAlign w:val="center"/>
          </w:tcPr>
          <w:p w14:paraId="58E5B177" w14:textId="460A0CC6" w:rsidR="00D2702D" w:rsidRPr="00D05E5C" w:rsidRDefault="00D2702D" w:rsidP="00D05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лояльности потребителей АО «НТЭСК» - проведение акций: «Внимание - должник» с 01.04.202</w:t>
            </w:r>
            <w:r w:rsidR="00A067F1" w:rsidRPr="00D05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-30.04.202</w:t>
            </w:r>
            <w:r w:rsidR="00A067F1" w:rsidRPr="00D05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и с 01.09.202</w:t>
            </w:r>
            <w:r w:rsidR="00A067F1" w:rsidRPr="00D05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– 30.09.202</w:t>
            </w:r>
            <w:r w:rsidR="00A067F1" w:rsidRPr="00D05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67F1"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«Подари ребенку книгу» с 01.05.2025 – 31.05.2025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«В новый год без долгов» 01.11.2</w:t>
            </w:r>
            <w:r w:rsidR="00A067F1" w:rsidRPr="00D05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- 31.12.2</w:t>
            </w:r>
            <w:r w:rsidR="00A067F1" w:rsidRPr="00D05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с розыгрышем призов</w:t>
            </w:r>
            <w:r w:rsidR="00153F94" w:rsidRPr="00D05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02D" w:rsidRPr="00D05E5C" w14:paraId="6A232170" w14:textId="77777777" w:rsidTr="004773FB">
        <w:trPr>
          <w:trHeight w:val="439"/>
        </w:trPr>
        <w:tc>
          <w:tcPr>
            <w:tcW w:w="613" w:type="dxa"/>
            <w:vAlign w:val="center"/>
          </w:tcPr>
          <w:p w14:paraId="287A437B" w14:textId="77777777" w:rsidR="00D2702D" w:rsidRPr="00AB4B02" w:rsidRDefault="00D2702D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2" w:type="dxa"/>
            <w:vAlign w:val="center"/>
          </w:tcPr>
          <w:p w14:paraId="757B84FF" w14:textId="3726814D" w:rsidR="00D2702D" w:rsidRPr="00D05E5C" w:rsidRDefault="00D2702D" w:rsidP="00D0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Предоставление потребителям услуг по установке приборов учета</w:t>
            </w:r>
            <w:r w:rsidR="00B13841"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</w:t>
            </w:r>
            <w:r w:rsidR="00153F94" w:rsidRPr="00D05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CA3" w:rsidRPr="00D05E5C" w14:paraId="3D1A5AD1" w14:textId="77777777" w:rsidTr="00D2702D">
        <w:tc>
          <w:tcPr>
            <w:tcW w:w="613" w:type="dxa"/>
            <w:vAlign w:val="center"/>
          </w:tcPr>
          <w:p w14:paraId="1660968B" w14:textId="371AD5D3" w:rsidR="00EB6CA3" w:rsidRDefault="00EB6CA3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92" w:type="dxa"/>
            <w:vAlign w:val="center"/>
          </w:tcPr>
          <w:p w14:paraId="127C1410" w14:textId="0D33611A" w:rsidR="00EB6CA3" w:rsidRPr="00D05E5C" w:rsidRDefault="00EB6CA3" w:rsidP="00D0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Предоставление потребителям услуг по опломбированию приборов учета электрической энергии</w:t>
            </w:r>
          </w:p>
        </w:tc>
      </w:tr>
      <w:tr w:rsidR="00D2702D" w:rsidRPr="00D05E5C" w14:paraId="2BC51202" w14:textId="77777777" w:rsidTr="00D2702D">
        <w:tc>
          <w:tcPr>
            <w:tcW w:w="613" w:type="dxa"/>
            <w:vAlign w:val="center"/>
          </w:tcPr>
          <w:p w14:paraId="60C6A49F" w14:textId="0FBA875C" w:rsidR="00D2702D" w:rsidRDefault="00EB6CA3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2" w:type="dxa"/>
            <w:vAlign w:val="center"/>
          </w:tcPr>
          <w:p w14:paraId="3FA646EC" w14:textId="076FDEB7" w:rsidR="00D2702D" w:rsidRPr="00D05E5C" w:rsidRDefault="00D2702D" w:rsidP="00D0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индивидуальных приборов учета </w:t>
            </w:r>
            <w:r w:rsidR="00EB6CA3"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1 раз в 6 месяцев, а также 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потребителей по завышенному начислению платы за КР СОИ. </w:t>
            </w:r>
          </w:p>
        </w:tc>
      </w:tr>
      <w:tr w:rsidR="000A3559" w:rsidRPr="00D05E5C" w14:paraId="536B8F2A" w14:textId="77777777" w:rsidTr="00F50130">
        <w:trPr>
          <w:trHeight w:val="421"/>
        </w:trPr>
        <w:tc>
          <w:tcPr>
            <w:tcW w:w="613" w:type="dxa"/>
            <w:vAlign w:val="center"/>
          </w:tcPr>
          <w:p w14:paraId="380D934F" w14:textId="28640A9A" w:rsidR="000A3559" w:rsidRDefault="00EB6CA3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92" w:type="dxa"/>
            <w:vAlign w:val="center"/>
          </w:tcPr>
          <w:p w14:paraId="7BD91E47" w14:textId="5B3B4442" w:rsidR="000A3559" w:rsidRPr="00D05E5C" w:rsidRDefault="000A3559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потребителям услуг по поверке приборов учета</w:t>
            </w:r>
            <w:r w:rsidR="00153F94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5E5C" w:rsidRPr="00D05E5C" w14:paraId="46607DBA" w14:textId="77777777" w:rsidTr="00D2702D">
        <w:tc>
          <w:tcPr>
            <w:tcW w:w="613" w:type="dxa"/>
            <w:vAlign w:val="center"/>
          </w:tcPr>
          <w:p w14:paraId="0E3E7369" w14:textId="1D730845" w:rsidR="00D05E5C" w:rsidRDefault="00D05E5C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92" w:type="dxa"/>
            <w:vAlign w:val="center"/>
          </w:tcPr>
          <w:p w14:paraId="0CDE4743" w14:textId="6D24C44C" w:rsidR="00D05E5C" w:rsidRPr="00D05E5C" w:rsidRDefault="00D05E5C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инвестиционной программы Общества в части замены приборов учета на интеллектуальные</w:t>
            </w:r>
          </w:p>
        </w:tc>
      </w:tr>
      <w:tr w:rsidR="00D2702D" w:rsidRPr="00D05E5C" w14:paraId="7341B1EB" w14:textId="77777777" w:rsidTr="00D2702D">
        <w:tc>
          <w:tcPr>
            <w:tcW w:w="613" w:type="dxa"/>
            <w:vAlign w:val="center"/>
          </w:tcPr>
          <w:p w14:paraId="42508EA0" w14:textId="64017B79" w:rsidR="00D2702D" w:rsidRDefault="00EB6CA3" w:rsidP="00A9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2" w:type="dxa"/>
            <w:vAlign w:val="center"/>
          </w:tcPr>
          <w:p w14:paraId="277C56EF" w14:textId="0BC89EE7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повышения профессиональных навыков и знаний сотрудников согласно утвержденному графику (в т.ч. участие в конференциях, вебинарах, тренингах);</w:t>
            </w:r>
          </w:p>
        </w:tc>
      </w:tr>
      <w:tr w:rsidR="00D2702D" w:rsidRPr="00D05E5C" w14:paraId="7F235BF3" w14:textId="77777777" w:rsidTr="004773FB">
        <w:trPr>
          <w:trHeight w:val="419"/>
        </w:trPr>
        <w:tc>
          <w:tcPr>
            <w:tcW w:w="613" w:type="dxa"/>
            <w:vAlign w:val="center"/>
          </w:tcPr>
          <w:p w14:paraId="363C11F7" w14:textId="7541B0C1" w:rsidR="00D2702D" w:rsidRDefault="000A3559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2" w:type="dxa"/>
            <w:vAlign w:val="center"/>
          </w:tcPr>
          <w:p w14:paraId="398A0660" w14:textId="6BEBB31F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сайта АО «НТЭСК».</w:t>
            </w:r>
          </w:p>
        </w:tc>
      </w:tr>
      <w:tr w:rsidR="00D2702D" w:rsidRPr="00D05E5C" w14:paraId="7C5B7119" w14:textId="77777777" w:rsidTr="004773FB">
        <w:trPr>
          <w:trHeight w:val="410"/>
        </w:trPr>
        <w:tc>
          <w:tcPr>
            <w:tcW w:w="613" w:type="dxa"/>
            <w:vAlign w:val="center"/>
          </w:tcPr>
          <w:p w14:paraId="0A8B79A2" w14:textId="118E64CC" w:rsidR="00D2702D" w:rsidRDefault="00D2702D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2" w:type="dxa"/>
            <w:vAlign w:val="center"/>
          </w:tcPr>
          <w:p w14:paraId="23C5F52C" w14:textId="720B0727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личного кабинета клиента на сайте АО «НТЭСК»</w:t>
            </w:r>
            <w:r w:rsidR="00153F94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02D" w:rsidRPr="00D05E5C" w14:paraId="5434D336" w14:textId="77777777" w:rsidTr="00D2702D">
        <w:tc>
          <w:tcPr>
            <w:tcW w:w="613" w:type="dxa"/>
            <w:vAlign w:val="center"/>
          </w:tcPr>
          <w:p w14:paraId="72A3D947" w14:textId="6BC25544" w:rsidR="00D2702D" w:rsidRDefault="00D2702D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2" w:type="dxa"/>
            <w:vAlign w:val="center"/>
          </w:tcPr>
          <w:p w14:paraId="12D36E22" w14:textId="72500B98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Обзвон потребителей сотрудниками колл-центра с целью уведомления </w:t>
            </w:r>
            <w:r w:rsidR="003C2A56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проведения проверки факта наличия/отсутствия прибора учета, проверки технических характеристик приборов учета и правильности снятия показаний </w:t>
            </w: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отношении потребителей, у которых показания приборов учета отсутствуют более 6 месяцев</w:t>
            </w:r>
            <w:r w:rsidR="00B13841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D2702D" w:rsidRPr="00D05E5C" w14:paraId="618753C8" w14:textId="77777777" w:rsidTr="00D2702D">
        <w:tc>
          <w:tcPr>
            <w:tcW w:w="613" w:type="dxa"/>
            <w:vAlign w:val="center"/>
          </w:tcPr>
          <w:p w14:paraId="099795B0" w14:textId="5DED3E42" w:rsidR="00D2702D" w:rsidRDefault="00D2702D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2" w:type="dxa"/>
            <w:vAlign w:val="center"/>
          </w:tcPr>
          <w:p w14:paraId="175636F7" w14:textId="25AE9BA3" w:rsidR="00D2702D" w:rsidRPr="00D05E5C" w:rsidRDefault="00B13841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2702D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аправление смс-уведомлений с целью информирования потребителей о наличии задолженности</w:t>
            </w:r>
            <w:r w:rsidR="00153F94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02D" w:rsidRPr="00D05E5C" w14:paraId="706859C8" w14:textId="77777777" w:rsidTr="00D2702D">
        <w:tc>
          <w:tcPr>
            <w:tcW w:w="613" w:type="dxa"/>
            <w:vAlign w:val="center"/>
          </w:tcPr>
          <w:p w14:paraId="1FA60663" w14:textId="7CA7C227" w:rsidR="00D2702D" w:rsidRDefault="00D2702D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92" w:type="dxa"/>
            <w:vAlign w:val="center"/>
          </w:tcPr>
          <w:p w14:paraId="3F4FB891" w14:textId="00E7319A" w:rsidR="00D2702D" w:rsidRPr="00D05E5C" w:rsidRDefault="00D05E5C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Мониторинг отзывов потребителей в социальных сетях, на различных интернет-площадках, оперативное реагирование и решение возникающих вопросов</w:t>
            </w:r>
          </w:p>
        </w:tc>
      </w:tr>
      <w:tr w:rsidR="00D2702D" w:rsidRPr="00D05E5C" w14:paraId="774ABCDB" w14:textId="77777777" w:rsidTr="00D2702D">
        <w:tc>
          <w:tcPr>
            <w:tcW w:w="613" w:type="dxa"/>
            <w:vAlign w:val="center"/>
          </w:tcPr>
          <w:p w14:paraId="63315712" w14:textId="3328ECF4" w:rsidR="00D2702D" w:rsidRDefault="00D2702D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92" w:type="dxa"/>
            <w:vAlign w:val="center"/>
          </w:tcPr>
          <w:p w14:paraId="76E62C9F" w14:textId="1BB0AFA6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стабильности работы официального сайта и сервисов Общества с целью исключения технических сбоев и недоступности каналов дистанционного обслуживания</w:t>
            </w:r>
            <w:r w:rsidR="00B13841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02D" w:rsidRPr="00D05E5C" w14:paraId="67627759" w14:textId="77777777" w:rsidTr="00D2702D">
        <w:tc>
          <w:tcPr>
            <w:tcW w:w="613" w:type="dxa"/>
            <w:vAlign w:val="center"/>
          </w:tcPr>
          <w:p w14:paraId="14845B26" w14:textId="437A58E7" w:rsidR="00D2702D" w:rsidRDefault="00B13841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92" w:type="dxa"/>
            <w:vAlign w:val="center"/>
          </w:tcPr>
          <w:p w14:paraId="34A98BBC" w14:textId="36957B01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предложений сотрудников общества по работе с клиентами, для дальнейшего внедрения и оптимизации работы Общества</w:t>
            </w:r>
            <w:r w:rsidR="00153F94"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02D" w:rsidRPr="00D05E5C" w14:paraId="541C87F9" w14:textId="77777777" w:rsidTr="00D2702D">
        <w:tc>
          <w:tcPr>
            <w:tcW w:w="613" w:type="dxa"/>
            <w:vAlign w:val="center"/>
          </w:tcPr>
          <w:p w14:paraId="4789792F" w14:textId="7EFF014A" w:rsidR="00D2702D" w:rsidRDefault="00D2702D" w:rsidP="00A95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E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92" w:type="dxa"/>
            <w:vAlign w:val="center"/>
          </w:tcPr>
          <w:p w14:paraId="7FFAD078" w14:textId="41525195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очных и заочных обращений клиентов для определения направлений повышения качества обслуживания.</w:t>
            </w:r>
          </w:p>
        </w:tc>
      </w:tr>
      <w:tr w:rsidR="00D05E5C" w:rsidRPr="00D05E5C" w14:paraId="620D2C5F" w14:textId="77777777" w:rsidTr="00D2702D">
        <w:tc>
          <w:tcPr>
            <w:tcW w:w="613" w:type="dxa"/>
            <w:vAlign w:val="center"/>
          </w:tcPr>
          <w:p w14:paraId="69B0F7CD" w14:textId="6A9DE293" w:rsidR="00D05E5C" w:rsidRDefault="00D05E5C" w:rsidP="00D27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792" w:type="dxa"/>
            <w:vAlign w:val="center"/>
          </w:tcPr>
          <w:p w14:paraId="451F6FB4" w14:textId="7732128D" w:rsidR="00D05E5C" w:rsidRPr="00D05E5C" w:rsidRDefault="00D05E5C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времени ожидания и обслуживания потребителей при очном и заочном обращении в центры (пункты) обслуживания потребителей и в </w:t>
            </w:r>
            <w:proofErr w:type="spellStart"/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call</w:t>
            </w:r>
            <w:proofErr w:type="spellEnd"/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-центр, реагирование на изменения.</w:t>
            </w:r>
          </w:p>
        </w:tc>
      </w:tr>
      <w:tr w:rsidR="00D2702D" w:rsidRPr="00D05E5C" w14:paraId="5D7FACEF" w14:textId="77777777" w:rsidTr="00D2702D">
        <w:tc>
          <w:tcPr>
            <w:tcW w:w="613" w:type="dxa"/>
            <w:vAlign w:val="center"/>
          </w:tcPr>
          <w:p w14:paraId="4F4A1112" w14:textId="6AC17605" w:rsidR="00D2702D" w:rsidRDefault="00D05E5C" w:rsidP="00D27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1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2" w:type="dxa"/>
            <w:vAlign w:val="center"/>
          </w:tcPr>
          <w:p w14:paraId="677DBB19" w14:textId="72922532" w:rsidR="00D2702D" w:rsidRPr="00D05E5C" w:rsidRDefault="00D2702D" w:rsidP="00D0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(размещение актуальной информации о деятельности Общества на официальном сайте, информационных стендах в центрах обслуживания клиентов (наличие актуальных раздаточных информационных материалов).</w:t>
            </w:r>
          </w:p>
        </w:tc>
      </w:tr>
    </w:tbl>
    <w:p w14:paraId="332508DC" w14:textId="77777777" w:rsidR="00D2702D" w:rsidRPr="00E8320C" w:rsidRDefault="00D2702D" w:rsidP="008B49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D2702D" w:rsidRPr="00E8320C" w:rsidSect="00DA1F73">
      <w:footerReference w:type="default" r:id="rId9"/>
      <w:type w:val="continuous"/>
      <w:pgSz w:w="11900" w:h="16840"/>
      <w:pgMar w:top="851" w:right="560" w:bottom="14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BC78" w14:textId="77777777" w:rsidR="00974F5A" w:rsidRDefault="00974F5A">
      <w:r>
        <w:separator/>
      </w:r>
    </w:p>
  </w:endnote>
  <w:endnote w:type="continuationSeparator" w:id="0">
    <w:p w14:paraId="02892437" w14:textId="77777777" w:rsidR="00974F5A" w:rsidRDefault="0097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8955" w14:textId="77777777" w:rsidR="00576B9B" w:rsidRDefault="00DC7B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B584AA" wp14:editId="1FAF2355">
              <wp:simplePos x="0" y="0"/>
              <wp:positionH relativeFrom="page">
                <wp:posOffset>1007110</wp:posOffset>
              </wp:positionH>
              <wp:positionV relativeFrom="page">
                <wp:posOffset>10281285</wp:posOffset>
              </wp:positionV>
              <wp:extent cx="554418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1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B48DA" w14:textId="5E2B9A8B" w:rsidR="00576B9B" w:rsidRDefault="00DC7BB7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0.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584A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9.3pt;margin-top:809.55pt;width:436.5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" filled="f" stroked="f">
              <v:textbox style="mso-fit-shape-to-text:t" inset="0,0,0,0">
                <w:txbxContent>
                  <w:p w14:paraId="1CEB48DA" w14:textId="5E2B9A8B" w:rsidR="00576B9B" w:rsidRDefault="00DC7BB7">
                    <w:pPr>
                      <w:pStyle w:val="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EE16" w14:textId="77777777" w:rsidR="00974F5A" w:rsidRDefault="00974F5A"/>
  </w:footnote>
  <w:footnote w:type="continuationSeparator" w:id="0">
    <w:p w14:paraId="5E977288" w14:textId="77777777" w:rsidR="00974F5A" w:rsidRDefault="00974F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B9B"/>
    <w:rsid w:val="00067AB7"/>
    <w:rsid w:val="000A3559"/>
    <w:rsid w:val="000A5642"/>
    <w:rsid w:val="000B19DA"/>
    <w:rsid w:val="000D3B81"/>
    <w:rsid w:val="000F7D05"/>
    <w:rsid w:val="00112E63"/>
    <w:rsid w:val="00130992"/>
    <w:rsid w:val="00153F94"/>
    <w:rsid w:val="001618D9"/>
    <w:rsid w:val="00175979"/>
    <w:rsid w:val="002131A1"/>
    <w:rsid w:val="00240118"/>
    <w:rsid w:val="00291593"/>
    <w:rsid w:val="002F4669"/>
    <w:rsid w:val="00330E73"/>
    <w:rsid w:val="00334EF8"/>
    <w:rsid w:val="00373898"/>
    <w:rsid w:val="00381213"/>
    <w:rsid w:val="0038455B"/>
    <w:rsid w:val="003A4C74"/>
    <w:rsid w:val="003C2A56"/>
    <w:rsid w:val="00461705"/>
    <w:rsid w:val="00467D96"/>
    <w:rsid w:val="00472636"/>
    <w:rsid w:val="004773FB"/>
    <w:rsid w:val="00483E31"/>
    <w:rsid w:val="004B40C5"/>
    <w:rsid w:val="004C59F6"/>
    <w:rsid w:val="004C76A3"/>
    <w:rsid w:val="00542530"/>
    <w:rsid w:val="00576B9B"/>
    <w:rsid w:val="00585772"/>
    <w:rsid w:val="005C71E9"/>
    <w:rsid w:val="00604DD2"/>
    <w:rsid w:val="0070717E"/>
    <w:rsid w:val="0074334C"/>
    <w:rsid w:val="00751438"/>
    <w:rsid w:val="007E16C2"/>
    <w:rsid w:val="007E7682"/>
    <w:rsid w:val="00897A11"/>
    <w:rsid w:val="008A18A0"/>
    <w:rsid w:val="008A1DDC"/>
    <w:rsid w:val="008B496B"/>
    <w:rsid w:val="008D47B3"/>
    <w:rsid w:val="00904275"/>
    <w:rsid w:val="00906E27"/>
    <w:rsid w:val="00973648"/>
    <w:rsid w:val="00974F5A"/>
    <w:rsid w:val="00986DE3"/>
    <w:rsid w:val="009C6B08"/>
    <w:rsid w:val="00A067F1"/>
    <w:rsid w:val="00A11A5D"/>
    <w:rsid w:val="00A53D82"/>
    <w:rsid w:val="00A64910"/>
    <w:rsid w:val="00A7219A"/>
    <w:rsid w:val="00A93F71"/>
    <w:rsid w:val="00AF1D31"/>
    <w:rsid w:val="00AF7F13"/>
    <w:rsid w:val="00B13841"/>
    <w:rsid w:val="00B520A2"/>
    <w:rsid w:val="00BA16E2"/>
    <w:rsid w:val="00BE0D9C"/>
    <w:rsid w:val="00C21620"/>
    <w:rsid w:val="00C740FD"/>
    <w:rsid w:val="00CF7F00"/>
    <w:rsid w:val="00D05E5C"/>
    <w:rsid w:val="00D129BF"/>
    <w:rsid w:val="00D2702D"/>
    <w:rsid w:val="00D519C7"/>
    <w:rsid w:val="00D5319F"/>
    <w:rsid w:val="00D91C81"/>
    <w:rsid w:val="00DA1F73"/>
    <w:rsid w:val="00DC7BB7"/>
    <w:rsid w:val="00E3187E"/>
    <w:rsid w:val="00E71172"/>
    <w:rsid w:val="00E8320C"/>
    <w:rsid w:val="00EB6CA3"/>
    <w:rsid w:val="00F20A18"/>
    <w:rsid w:val="00F44F2E"/>
    <w:rsid w:val="00F47145"/>
    <w:rsid w:val="00F47D49"/>
    <w:rsid w:val="00F50130"/>
    <w:rsid w:val="00F77205"/>
    <w:rsid w:val="00FA0009"/>
    <w:rsid w:val="00FA050A"/>
    <w:rsid w:val="00FB2EA9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D1AEF"/>
  <w15:docId w15:val="{B9DC1182-270A-47B5-8719-0099D56A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1D3B5B"/>
      <w:sz w:val="86"/>
      <w:szCs w:val="86"/>
      <w:u w:val="none"/>
    </w:rPr>
  </w:style>
  <w:style w:type="character" w:customStyle="1" w:styleId="a3">
    <w:name w:val="Друго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ahoma" w:eastAsia="Tahoma" w:hAnsi="Tahoma" w:cs="Tahoma"/>
      <w:b/>
      <w:bCs/>
      <w:i w:val="0"/>
      <w:iCs w:val="0"/>
      <w:smallCaps w:val="0"/>
      <w:strike w:val="0"/>
      <w:color w:val="FD0000"/>
      <w:sz w:val="36"/>
      <w:szCs w:val="36"/>
      <w:u w:val="none"/>
    </w:rPr>
  </w:style>
  <w:style w:type="paragraph" w:customStyle="1" w:styleId="30">
    <w:name w:val="Заголовок №3"/>
    <w:basedOn w:val="a"/>
    <w:link w:val="3"/>
    <w:pPr>
      <w:spacing w:line="233" w:lineRule="auto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80"/>
      <w:outlineLvl w:val="0"/>
    </w:pPr>
    <w:rPr>
      <w:rFonts w:ascii="Arial" w:eastAsia="Arial" w:hAnsi="Arial" w:cs="Arial"/>
      <w:b/>
      <w:bCs/>
      <w:color w:val="1D3B5B"/>
      <w:sz w:val="86"/>
      <w:szCs w:val="86"/>
    </w:rPr>
  </w:style>
  <w:style w:type="paragraph" w:customStyle="1" w:styleId="a4">
    <w:name w:val="Другое"/>
    <w:basedOn w:val="a"/>
    <w:link w:val="a3"/>
    <w:pPr>
      <w:ind w:left="340"/>
    </w:pPr>
    <w:rPr>
      <w:rFonts w:ascii="Arial" w:eastAsia="Arial" w:hAnsi="Arial" w:cs="Arial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pacing w:after="150"/>
      <w:jc w:val="center"/>
      <w:outlineLvl w:val="1"/>
    </w:pPr>
    <w:rPr>
      <w:rFonts w:ascii="Tahoma" w:eastAsia="Tahoma" w:hAnsi="Tahoma" w:cs="Tahoma"/>
      <w:b/>
      <w:bCs/>
      <w:color w:val="FD0000"/>
      <w:sz w:val="36"/>
      <w:szCs w:val="36"/>
    </w:rPr>
  </w:style>
  <w:style w:type="paragraph" w:styleId="a5">
    <w:name w:val="header"/>
    <w:basedOn w:val="a"/>
    <w:link w:val="a6"/>
    <w:unhideWhenUsed/>
    <w:rsid w:val="00A649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4910"/>
    <w:rPr>
      <w:color w:val="000000"/>
    </w:rPr>
  </w:style>
  <w:style w:type="paragraph" w:styleId="a7">
    <w:name w:val="footer"/>
    <w:basedOn w:val="a"/>
    <w:link w:val="a8"/>
    <w:uiPriority w:val="99"/>
    <w:unhideWhenUsed/>
    <w:rsid w:val="00A649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91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649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4910"/>
    <w:rPr>
      <w:rFonts w:ascii="Segoe UI" w:hAnsi="Segoe UI" w:cs="Segoe UI"/>
      <w:color w:val="000000"/>
      <w:sz w:val="18"/>
      <w:szCs w:val="18"/>
    </w:rPr>
  </w:style>
  <w:style w:type="table" w:styleId="ab">
    <w:name w:val="Table Grid"/>
    <w:basedOn w:val="a1"/>
    <w:uiPriority w:val="39"/>
    <w:rsid w:val="0029159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1593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ac">
    <w:name w:val="Normal (Web)"/>
    <w:basedOn w:val="a"/>
    <w:uiPriority w:val="99"/>
    <w:semiHidden/>
    <w:unhideWhenUsed/>
    <w:rsid w:val="00A53D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Emphasis"/>
    <w:basedOn w:val="a0"/>
    <w:uiPriority w:val="20"/>
    <w:qFormat/>
    <w:rsid w:val="00E83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1822-863B-4B2E-A0F4-98025CE3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объявления_ НТЭСК А4 1+0.cdr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объявления_ НТЭСК А4 1+0.cdr</dc:title>
  <dc:subject/>
  <dc:creator>Пользователь</dc:creator>
  <cp:keywords/>
  <cp:lastModifiedBy>Табунщикова Людмила Федоровна</cp:lastModifiedBy>
  <cp:revision>2</cp:revision>
  <cp:lastPrinted>2021-06-15T03:20:00Z</cp:lastPrinted>
  <dcterms:created xsi:type="dcterms:W3CDTF">2026-03-24T11:38:00Z</dcterms:created>
  <dcterms:modified xsi:type="dcterms:W3CDTF">2026-03-24T11:38:00Z</dcterms:modified>
</cp:coreProperties>
</file>